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bookmarkStart w:id="2" w:name="_GoBack"/>
      <w:bookmarkEnd w:id="2"/>
    </w:p>
    <w:p w:rsidR="000358B8" w:rsidRPr="00A4788C" w:rsidRDefault="00A6786F" w:rsidP="002A5366">
      <w:pPr>
        <w:pStyle w:val="a9"/>
        <w:ind w:left="0"/>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2A5366">
      <w:pPr>
        <w:pStyle w:val="a9"/>
        <w:ind w:left="0"/>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2A5366">
      <w:pPr>
        <w:pStyle w:val="31"/>
        <w:keepNext w:val="0"/>
        <w:numPr>
          <w:ilvl w:val="0"/>
          <w:numId w:val="0"/>
        </w:numPr>
        <w:spacing w:before="0" w:after="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2A5366"/>
    <w:p w:rsidR="00B300E6" w:rsidRPr="00E15BE5" w:rsidRDefault="00B300E6" w:rsidP="002A5366">
      <w:pPr>
        <w:numPr>
          <w:ilvl w:val="0"/>
          <w:numId w:val="20"/>
        </w:numPr>
        <w:tabs>
          <w:tab w:val="left" w:pos="284"/>
        </w:tabs>
        <w:ind w:left="0"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w:t>
      </w:r>
      <w:r w:rsidRPr="00E15BE5">
        <w:rPr>
          <w:b/>
          <w:smallCaps/>
        </w:rPr>
        <w:t>и</w:t>
      </w:r>
      <w:r w:rsidRPr="00E15BE5">
        <w:rPr>
          <w:b/>
          <w:smallCaps/>
        </w:rPr>
        <w:t>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2A5366" w:rsidRPr="00A4788C" w:rsidTr="00B9724C">
        <w:trPr>
          <w:trHeight w:val="562"/>
        </w:trPr>
        <w:tc>
          <w:tcPr>
            <w:tcW w:w="1200" w:type="dxa"/>
            <w:tcBorders>
              <w:top w:val="single" w:sz="4" w:space="0" w:color="auto"/>
              <w:left w:val="single" w:sz="4" w:space="0" w:color="auto"/>
              <w:right w:val="single" w:sz="4" w:space="0" w:color="auto"/>
            </w:tcBorders>
          </w:tcPr>
          <w:p w:rsidR="002A5366" w:rsidRPr="00A4788C" w:rsidRDefault="002A5366"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2A5366" w:rsidRPr="00AD116B" w:rsidRDefault="002A5366"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2A5366" w:rsidRPr="00E15BE5" w:rsidRDefault="002A5366" w:rsidP="005F1E24">
            <w:pPr>
              <w:pStyle w:val="afe"/>
              <w:ind w:left="34" w:firstLine="0"/>
              <w:jc w:val="center"/>
              <w:rPr>
                <w:szCs w:val="24"/>
              </w:rPr>
            </w:pPr>
            <w:r>
              <w:rPr>
                <w:szCs w:val="24"/>
                <w:lang w:val="en-US"/>
              </w:rPr>
              <w:t>10</w:t>
            </w:r>
            <w:r w:rsidRPr="00E15BE5">
              <w:rPr>
                <w:szCs w:val="24"/>
              </w:rPr>
              <w:t>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2A5366">
      <w:pPr>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2A5366">
      <w:pPr>
        <w:jc w:val="both"/>
        <w:rPr>
          <w:b/>
        </w:rPr>
      </w:pPr>
    </w:p>
    <w:p w:rsidR="00B300E6" w:rsidRDefault="0047697C" w:rsidP="002A5366">
      <w:pPr>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Pr="002A5366" w:rsidRDefault="00E86502" w:rsidP="002A5366">
      <w:pPr>
        <w:pStyle w:val="31"/>
        <w:keepNext w:val="0"/>
        <w:numPr>
          <w:ilvl w:val="0"/>
          <w:numId w:val="0"/>
        </w:numPr>
        <w:spacing w:before="0" w:after="0"/>
        <w:rPr>
          <w:lang w:val="en-US"/>
        </w:rPr>
      </w:pPr>
    </w:p>
    <w:p w:rsidR="00F3039C" w:rsidRPr="00A4788C" w:rsidRDefault="00F3039C" w:rsidP="002A5366">
      <w:pPr>
        <w:pStyle w:val="31"/>
        <w:keepNext w:val="0"/>
        <w:numPr>
          <w:ilvl w:val="0"/>
          <w:numId w:val="0"/>
        </w:numPr>
        <w:spacing w:before="0" w:after="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w:t>
      </w:r>
      <w:r w:rsidRPr="00A4788C">
        <w:rPr>
          <w:rFonts w:ascii="Times New Roman" w:hAnsi="Times New Roman"/>
          <w:b w:val="0"/>
          <w:szCs w:val="24"/>
        </w:rPr>
        <w:t>й</w:t>
      </w:r>
      <w:r w:rsidRPr="00A4788C">
        <w:rPr>
          <w:rFonts w:ascii="Times New Roman" w:hAnsi="Times New Roman"/>
          <w:b w:val="0"/>
          <w:szCs w:val="24"/>
        </w:rPr>
        <w:t xml:space="preserve">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ле</w:t>
      </w:r>
      <w:r w:rsidRPr="00A4788C">
        <w:rPr>
          <w:rFonts w:ascii="Times New Roman" w:hAnsi="Times New Roman"/>
          <w:b w:val="0"/>
          <w:szCs w:val="24"/>
        </w:rPr>
        <w:t>н</w:t>
      </w:r>
      <w:r w:rsidRPr="00A4788C">
        <w:rPr>
          <w:rFonts w:ascii="Times New Roman" w:hAnsi="Times New Roman"/>
          <w:b w:val="0"/>
          <w:szCs w:val="24"/>
        </w:rPr>
        <w:t xml:space="preserve">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2A5366">
      <w:pPr>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w:t>
      </w:r>
      <w:r w:rsidRPr="00A4788C">
        <w:t>е</w:t>
      </w:r>
      <w:r w:rsidRPr="00A4788C">
        <w:t xml:space="preserve">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w:t>
      </w:r>
      <w:r w:rsidRPr="00A4788C">
        <w:t>о</w:t>
      </w:r>
      <w:r w:rsidRPr="00A4788C">
        <w:t>центах. При этом для расчетов рейтингов применяется коэффициент значимости, равный значению соо</w:t>
      </w:r>
      <w:r w:rsidRPr="00A4788C">
        <w:t>т</w:t>
      </w:r>
      <w:r w:rsidRPr="00A4788C">
        <w:t>ветствующего критерия в процентах, деленному на 100.</w:t>
      </w:r>
    </w:p>
    <w:p w:rsidR="00F3039C" w:rsidRDefault="00F3039C" w:rsidP="002A5366">
      <w:pPr>
        <w:jc w:val="both"/>
        <w:rPr>
          <w:lang w:val="en-US"/>
        </w:rPr>
      </w:pPr>
      <w:r w:rsidRPr="00A4788C">
        <w:t>Присуждение каждой заявке порядкового номера по мере уменьшения степени выгодн</w:t>
      </w:r>
      <w:r w:rsidRPr="00A4788C">
        <w:t>о</w:t>
      </w:r>
      <w:r w:rsidRPr="00A4788C">
        <w:t xml:space="preserve">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2A5366" w:rsidRPr="002A5366" w:rsidRDefault="002A5366" w:rsidP="006A7C5D">
      <w:pPr>
        <w:ind w:firstLine="567"/>
        <w:jc w:val="both"/>
        <w:rPr>
          <w:lang w:val="en-US"/>
        </w:rPr>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w:t>
      </w:r>
      <w:r w:rsidR="00F3039C" w:rsidRPr="00A4788C">
        <w:t>я</w:t>
      </w:r>
      <w:r w:rsidR="00F3039C" w:rsidRPr="00A4788C">
        <w:t>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2650783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w:t>
      </w:r>
      <w:r>
        <w:rPr>
          <w:rFonts w:ascii="Times New Roman" w:hAnsi="Times New Roman" w:cs="Times New Roman"/>
          <w:sz w:val="24"/>
          <w:szCs w:val="24"/>
        </w:rPr>
        <w:t>д</w:t>
      </w:r>
      <w:r>
        <w:rPr>
          <w:rFonts w:ascii="Times New Roman" w:hAnsi="Times New Roman" w:cs="Times New Roman"/>
          <w:sz w:val="24"/>
          <w:szCs w:val="24"/>
        </w:rPr>
        <w:t>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w:t>
      </w:r>
      <w:r w:rsidRPr="00A4788C">
        <w:t>т</w:t>
      </w:r>
      <w:r w:rsidRPr="00A4788C">
        <w:t>ветствующую указанному критерию значимость.</w:t>
      </w:r>
    </w:p>
    <w:p w:rsidR="00557921" w:rsidRPr="00A4788C" w:rsidRDefault="00557921" w:rsidP="00144ACE">
      <w:pPr>
        <w:ind w:firstLine="567"/>
        <w:jc w:val="both"/>
        <w:rPr>
          <w:color w:val="000000"/>
        </w:rPr>
      </w:pPr>
    </w:p>
    <w:sectPr w:rsidR="00557921" w:rsidRPr="00A4788C" w:rsidSect="002A5366">
      <w:headerReference w:type="even" r:id="rId11"/>
      <w:headerReference w:type="default" r:id="rId12"/>
      <w:pgSz w:w="11906" w:h="16838"/>
      <w:pgMar w:top="1134" w:right="1133"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555" w:rsidRDefault="00935555">
      <w:r>
        <w:separator/>
      </w:r>
    </w:p>
  </w:endnote>
  <w:endnote w:type="continuationSeparator" w:id="0">
    <w:p w:rsidR="00935555" w:rsidRDefault="00935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555" w:rsidRDefault="00935555">
      <w:r>
        <w:separator/>
      </w:r>
    </w:p>
  </w:footnote>
  <w:footnote w:type="continuationSeparator" w:id="0">
    <w:p w:rsidR="00935555" w:rsidRDefault="00935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A536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366"/>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35555"/>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419DC-2542-4534-B3A0-EB6DC80C8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472</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4</cp:revision>
  <cp:lastPrinted>2011-10-03T13:01:00Z</cp:lastPrinted>
  <dcterms:created xsi:type="dcterms:W3CDTF">2013-03-06T09:10:00Z</dcterms:created>
  <dcterms:modified xsi:type="dcterms:W3CDTF">2013-04-03T09:24:00Z</dcterms:modified>
</cp:coreProperties>
</file>